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2C6B57"/>
          <w:sz w:val="24"/>
        </w:rPr>
        <w:t>MAYPREEN</w:t>
      </w:r>
      <w:r>
        <w:rPr>
          <w:rFonts w:ascii="Arial" w:hAnsi="Arial"/>
          <w:b/>
          <w:color w:val="1F2B27"/>
          <w:sz w:val="24"/>
        </w:rPr>
        <w:t xml:space="preserve">  ×  AINNA</w:t>
      </w:r>
    </w:p>
    <w:p/>
    <w:p>
      <w:r>
        <w:rPr>
          <w:rFonts w:ascii="Arial" w:hAnsi="Arial"/>
          <w:b/>
          <w:color w:val="A58B4B"/>
          <w:sz w:val="18"/>
        </w:rPr>
        <w:t>WEBSITE &amp; AI CAPABILITY PROPOSAL</w:t>
      </w:r>
    </w:p>
    <w:p>
      <w:pPr>
        <w:spacing w:after="240"/>
      </w:pPr>
      <w:r>
        <w:rPr>
          <w:rFonts w:ascii="Arial" w:hAnsi="Arial"/>
          <w:b/>
          <w:color w:val="1F2B27"/>
          <w:sz w:val="54"/>
        </w:rPr>
        <w:t>Two ways to build a website</w:t>
        <w:br/>
        <w:t>that keeps working.</w:t>
      </w:r>
    </w:p>
    <w:p>
      <w:pPr>
        <w:spacing w:after="400"/>
      </w:pPr>
      <w:r>
        <w:rPr>
          <w:rFonts w:ascii="Arial" w:hAnsi="Arial"/>
          <w:color w:val="52605A"/>
          <w:sz w:val="26"/>
        </w:rPr>
        <w:t>Executive Summary • Decision Brief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60"/>
        <w:gridCol w:w="7200"/>
      </w:tblGrid>
      <w:tr>
        <w:tc>
          <w:tcPr>
            <w:tcW w:type="dxa" w:w="5083"/>
            <w:shd w:fill="2C6B5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  <w:tc>
          <w:tcPr>
            <w:tcW w:type="dxa" w:w="5083"/>
            <w:shd w:fill="D9E2DD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</w:tr>
    </w:tbl>
    <w:p/>
    <w:p>
      <w:r>
        <w:rPr>
          <w:rFonts w:ascii="Arial" w:hAnsi="Arial"/>
          <w:b/>
          <w:color w:val="2C6B57"/>
          <w:sz w:val="16"/>
        </w:rPr>
        <w:t>Prepared for</w:t>
      </w:r>
    </w:p>
    <w:p>
      <w:r>
        <w:rPr>
          <w:rFonts w:ascii="Arial" w:hAnsi="Arial"/>
          <w:b/>
          <w:color w:val="1F2B27"/>
          <w:sz w:val="28"/>
        </w:rPr>
        <w:t>Maypreen Sdn. Bhd. × ecoMINIM®</w:t>
      </w:r>
    </w:p>
    <w:p>
      <w:r>
        <w:rPr>
          <w:rFonts w:ascii="Arial" w:hAnsi="Arial"/>
          <w:color w:val="52605A"/>
          <w:sz w:val="20"/>
        </w:rPr>
        <w:t>Prepared by AINNA</w:t>
      </w:r>
    </w:p>
    <w:p>
      <w:r>
        <w:rPr>
          <w:rFonts w:ascii="Arial" w:hAnsi="Arial"/>
          <w:color w:val="52605A"/>
          <w:sz w:val="19"/>
        </w:rPr>
        <w:t>September 2026</w:t>
      </w:r>
    </w:p>
    <w:p/>
    <w:p>
      <w:r>
        <w:rPr>
          <w:rFonts w:ascii="Arial" w:hAnsi="Arial"/>
          <w:i/>
          <w:color w:val="2C6B57"/>
          <w:sz w:val="20"/>
        </w:rPr>
        <w:t>Science. Care. Sustainability.</w:t>
      </w:r>
    </w:p>
    <w:p>
      <w:r>
        <w:rPr>
          <w:rFonts w:ascii="Arial" w:hAnsi="Arial"/>
          <w:color w:val="52605A"/>
          <w:sz w:val="18"/>
        </w:rPr>
        <w:t>Responsible manufacturing. Health-conscious product design. Sustainability by intent.</w:t>
      </w:r>
    </w:p>
    <w:p>
      <w:r>
        <w:br w:type="page"/>
      </w:r>
    </w:p>
    <w:p>
      <w:pPr>
        <w:pStyle w:val="SmallCapsLabel"/>
      </w:pPr>
      <w:r>
        <w:t>EXECUTIVE SUMMARY</w:t>
      </w:r>
    </w:p>
    <w:p>
      <w:pPr>
        <w:pStyle w:val="Heading1"/>
      </w:pPr>
      <w:r>
        <w:t>1. The Decision</w:t>
      </w:r>
    </w:p>
    <w:p>
      <w:r>
        <w:rPr>
          <w:rFonts w:ascii="Arial" w:hAnsi="Arial"/>
          <w:color w:val="1F2B27"/>
          <w:sz w:val="20"/>
        </w:rPr>
        <w:t>Maypreen has two clear ways to strengthen its digital capability. It can move quickly with a fully managed website operated by AINNA, or it can build internal ownership by training its team to use AINNA Agent to create and improve websites, dashboards and business systems.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EF4F1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/>
                <w:b/>
                <w:color w:val="2C6B57"/>
                <w:sz w:val="20"/>
              </w:rPr>
              <w:t>KEY POINT</w:t>
            </w:r>
          </w:p>
          <w:p>
            <w:r>
              <w:rPr>
                <w:rFonts w:ascii="Arial" w:hAnsi="Arial"/>
                <w:b/>
                <w:color w:val="1F2B27"/>
                <w:sz w:val="22"/>
              </w:rPr>
              <w:t>This is not an either-or decision. Maypreen can start managed, build internal capability later, or run both paths side by side.</w:t>
            </w:r>
          </w:p>
        </w:tc>
      </w:tr>
    </w:tbl>
    <w:p>
      <w:pPr>
        <w:pStyle w:val="Heading1"/>
      </w:pPr>
      <w:r>
        <w:t>2. The Two Paths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cantSplit/>
        </w:trPr>
        <w:tc>
          <w:tcPr>
            <w:tcW w:type="dxa" w:w="5083"/>
            <w:shd w:fill="F7FAF8"/>
            <w:tcMar>
              <w:top w:w="140" w:type="dxa"/>
              <w:start w:w="140" w:type="dxa"/>
              <w:bottom w:w="140" w:type="dxa"/>
              <w:end w:w="140" w:type="dxa"/>
            </w:tcMar>
            <w:vAlign w:val="top"/>
          </w:tcPr>
          <w:p>
            <w:r>
              <w:rPr>
                <w:rFonts w:ascii="Arial" w:hAnsi="Arial"/>
                <w:b/>
                <w:color w:val="2C6B57"/>
                <w:sz w:val="21"/>
              </w:rPr>
              <w:t>OPTION 01 — FULL WEBSITE PACKAGE</w:t>
            </w:r>
          </w:p>
          <w:p>
            <w:r>
              <w:rPr>
                <w:rFonts w:ascii="Arial" w:hAnsi="Arial"/>
                <w:color w:val="1F2B27"/>
                <w:sz w:val="18"/>
              </w:rPr>
              <w:t>AINNA builds and manages the agreed Maypreen website scope. Best when speed, lower internal workload and ongoing managed improvement are the immediate priorities.</w:t>
            </w:r>
          </w:p>
        </w:tc>
        <w:tc>
          <w:tcPr>
            <w:tcW w:type="dxa" w:w="5083"/>
            <w:shd w:fill="F7FAF8"/>
            <w:tcMar>
              <w:top w:w="140" w:type="dxa"/>
              <w:start w:w="140" w:type="dxa"/>
              <w:bottom w:w="140" w:type="dxa"/>
              <w:end w:w="140" w:type="dxa"/>
            </w:tcMar>
            <w:vAlign w:val="top"/>
          </w:tcPr>
          <w:p>
            <w:r>
              <w:rPr>
                <w:rFonts w:ascii="Arial" w:hAnsi="Arial"/>
                <w:b/>
                <w:color w:val="2C6B57"/>
                <w:sz w:val="21"/>
              </w:rPr>
              <w:t>OPTION 02 — AI CAPABILITY PROGRAMME</w:t>
            </w:r>
          </w:p>
          <w:p>
            <w:r>
              <w:rPr>
                <w:rFonts w:ascii="Arial" w:hAnsi="Arial"/>
                <w:color w:val="1F2B27"/>
                <w:sz w:val="18"/>
              </w:rPr>
              <w:t>Maypreen trains its own team to build with AINNA Agent. Best when internal ownership, business knowledge retention and future system-building capability are strategic priorities.</w:t>
            </w:r>
          </w:p>
        </w:tc>
      </w:tr>
    </w:tbl>
    <w:p>
      <w:pPr>
        <w:pStyle w:val="Heading1"/>
      </w:pPr>
      <w:r>
        <w:t>3. What Maypreen Gets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2C6B57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Area</w:t>
            </w:r>
          </w:p>
        </w:tc>
        <w:tc>
          <w:tcPr>
            <w:tcW w:type="dxa" w:w="3389"/>
            <w:shd w:fill="2C6B57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Managed Website</w:t>
            </w:r>
          </w:p>
        </w:tc>
        <w:tc>
          <w:tcPr>
            <w:tcW w:type="dxa" w:w="3389"/>
            <w:shd w:fill="2C6B57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AI Capability</w:t>
            </w:r>
          </w:p>
        </w:tc>
      </w:tr>
      <w:tr>
        <w:trPr>
          <w:cantSplit/>
        </w:trPr>
        <w:tc>
          <w:tcPr>
            <w:tcW w:type="dxa" w:w="3389"/>
            <w:shd w:fill="F7FAF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/>
                <w:color w:val="1F2B27"/>
                <w:sz w:val="17"/>
              </w:rPr>
              <w:t>Build responsibility</w:t>
            </w:r>
          </w:p>
        </w:tc>
        <w:tc>
          <w:tcPr>
            <w:tcW w:type="dxa" w:w="3389"/>
            <w:shd w:fill="F7FAF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 w:val="0"/>
                <w:color w:val="1F2B27"/>
                <w:sz w:val="17"/>
              </w:rPr>
              <w:t>AINNA</w:t>
            </w:r>
          </w:p>
        </w:tc>
        <w:tc>
          <w:tcPr>
            <w:tcW w:type="dxa" w:w="3389"/>
            <w:shd w:fill="F7FAF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 w:val="0"/>
                <w:color w:val="1F2B27"/>
                <w:sz w:val="17"/>
              </w:rPr>
              <w:t>Maypreen team with AINNA Agent</w:t>
            </w:r>
          </w:p>
        </w:tc>
      </w:tr>
      <w:tr>
        <w:trPr>
          <w:cantSplit/>
        </w:trPr>
        <w:tc>
          <w:tcPr>
            <w:tcW w:type="dxa" w:w="338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/>
                <w:color w:val="1F2B27"/>
                <w:sz w:val="17"/>
              </w:rPr>
              <w:t>Primary output</w:t>
            </w:r>
          </w:p>
        </w:tc>
        <w:tc>
          <w:tcPr>
            <w:tcW w:type="dxa" w:w="338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 w:val="0"/>
                <w:color w:val="1F2B27"/>
                <w:sz w:val="17"/>
              </w:rPr>
              <w:t>Agreed website / digital scope</w:t>
            </w:r>
          </w:p>
        </w:tc>
        <w:tc>
          <w:tcPr>
            <w:tcW w:type="dxa" w:w="338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 w:val="0"/>
                <w:color w:val="1F2B27"/>
                <w:sz w:val="17"/>
              </w:rPr>
              <w:t>Capability + infrastructure + one primary output</w:t>
            </w:r>
          </w:p>
        </w:tc>
      </w:tr>
      <w:tr>
        <w:trPr>
          <w:cantSplit/>
        </w:trPr>
        <w:tc>
          <w:tcPr>
            <w:tcW w:type="dxa" w:w="3389"/>
            <w:shd w:fill="F7FAF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/>
                <w:color w:val="1F2B27"/>
                <w:sz w:val="17"/>
              </w:rPr>
              <w:t>Operations</w:t>
            </w:r>
          </w:p>
        </w:tc>
        <w:tc>
          <w:tcPr>
            <w:tcW w:type="dxa" w:w="3389"/>
            <w:shd w:fill="F7FAF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 w:val="0"/>
                <w:color w:val="1F2B27"/>
                <w:sz w:val="17"/>
              </w:rPr>
              <w:t>Managed by AINNA as agreed</w:t>
            </w:r>
          </w:p>
        </w:tc>
        <w:tc>
          <w:tcPr>
            <w:tcW w:type="dxa" w:w="3389"/>
            <w:shd w:fill="F7FAF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 w:val="0"/>
                <w:color w:val="1F2B27"/>
                <w:sz w:val="17"/>
              </w:rPr>
              <w:t>More internal ownership</w:t>
            </w:r>
          </w:p>
        </w:tc>
      </w:tr>
      <w:tr>
        <w:trPr>
          <w:cantSplit/>
        </w:trPr>
        <w:tc>
          <w:tcPr>
            <w:tcW w:type="dxa" w:w="338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/>
                <w:color w:val="1F2B27"/>
                <w:sz w:val="17"/>
              </w:rPr>
              <w:t>Content / SEO</w:t>
            </w:r>
          </w:p>
        </w:tc>
        <w:tc>
          <w:tcPr>
            <w:tcW w:type="dxa" w:w="338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 w:val="0"/>
                <w:color w:val="1F2B27"/>
                <w:sz w:val="17"/>
              </w:rPr>
              <w:t>Managed operations available</w:t>
            </w:r>
          </w:p>
        </w:tc>
        <w:tc>
          <w:tcPr>
            <w:tcW w:type="dxa" w:w="338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 w:val="0"/>
                <w:color w:val="1F2B27"/>
                <w:sz w:val="17"/>
              </w:rPr>
              <w:t>Team can learn to build and improve</w:t>
            </w:r>
          </w:p>
        </w:tc>
      </w:tr>
      <w:tr>
        <w:trPr>
          <w:cantSplit/>
        </w:trPr>
        <w:tc>
          <w:tcPr>
            <w:tcW w:type="dxa" w:w="3389"/>
            <w:shd w:fill="F7FAF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/>
                <w:color w:val="1F2B27"/>
                <w:sz w:val="17"/>
              </w:rPr>
              <w:t>Automation</w:t>
            </w:r>
          </w:p>
        </w:tc>
        <w:tc>
          <w:tcPr>
            <w:tcW w:type="dxa" w:w="3389"/>
            <w:shd w:fill="F7FAF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 w:val="0"/>
                <w:color w:val="1F2B27"/>
                <w:sz w:val="17"/>
              </w:rPr>
              <w:t>Optional after workflow confirmation</w:t>
            </w:r>
          </w:p>
        </w:tc>
        <w:tc>
          <w:tcPr>
            <w:tcW w:type="dxa" w:w="3389"/>
            <w:shd w:fill="F7FAF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 w:val="0"/>
                <w:color w:val="1F2B27"/>
                <w:sz w:val="17"/>
              </w:rPr>
              <w:t>Future modules can be built by priority</w:t>
            </w:r>
          </w:p>
        </w:tc>
      </w:tr>
      <w:tr>
        <w:trPr>
          <w:cantSplit/>
        </w:trPr>
        <w:tc>
          <w:tcPr>
            <w:tcW w:type="dxa" w:w="338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/>
                <w:color w:val="1F2B27"/>
                <w:sz w:val="17"/>
              </w:rPr>
              <w:t>Governance</w:t>
            </w:r>
          </w:p>
        </w:tc>
        <w:tc>
          <w:tcPr>
            <w:tcW w:type="dxa" w:w="338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 w:val="0"/>
                <w:color w:val="1F2B27"/>
                <w:sz w:val="17"/>
              </w:rPr>
              <w:t>Human approval for sensitive content</w:t>
            </w:r>
          </w:p>
        </w:tc>
        <w:tc>
          <w:tcPr>
            <w:tcW w:type="dxa" w:w="338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rial" w:hAnsi="Arial"/>
                <w:b w:val="0"/>
                <w:color w:val="1F2B27"/>
                <w:sz w:val="17"/>
              </w:rPr>
              <w:t>Human/business rules remain part of verification</w:t>
            </w:r>
          </w:p>
        </w:tc>
      </w:tr>
    </w:tbl>
    <w:p>
      <w:pPr>
        <w:pStyle w:val="Heading1"/>
      </w:pPr>
      <w:r>
        <w:t>4. Capability Programme — Published Commercial Reference</w:t>
      </w:r>
    </w:p>
    <w:p>
      <w:pPr>
        <w:pStyle w:val="ListBullet"/>
        <w:ind w:left="259" w:hanging="173"/>
      </w:pPr>
      <w:r>
        <w:rPr>
          <w:rFonts w:ascii="Arial" w:hAnsi="Arial"/>
          <w:color w:val="1F2B27"/>
          <w:sz w:val="20"/>
        </w:rPr>
        <w:t>RM18,000 launch offer for the 3-day dedicated programme (published from RM25,000).</w:t>
      </w:r>
    </w:p>
    <w:p>
      <w:pPr>
        <w:pStyle w:val="ListBullet"/>
        <w:ind w:left="259" w:hanging="173"/>
      </w:pPr>
      <w:r>
        <w:rPr>
          <w:rFonts w:ascii="Arial" w:hAnsi="Arial"/>
          <w:color w:val="1F2B27"/>
          <w:sz w:val="20"/>
        </w:rPr>
        <w:t>Includes AINNA Agent, business consultation and first-year infrastructure within agreed limits.</w:t>
      </w:r>
    </w:p>
    <w:p>
      <w:pPr>
        <w:pStyle w:val="ListBullet"/>
        <w:ind w:left="259" w:hanging="173"/>
      </w:pPr>
      <w:r>
        <w:rPr>
          <w:rFonts w:ascii="Arial" w:hAnsi="Arial"/>
          <w:color w:val="1F2B27"/>
          <w:sz w:val="20"/>
        </w:rPr>
        <w:t>One primary website, dashboard or e-commerce prototype is selected for the programme.</w:t>
      </w:r>
    </w:p>
    <w:p>
      <w:pPr>
        <w:pStyle w:val="ListBullet"/>
        <w:ind w:left="259" w:hanging="173"/>
      </w:pPr>
      <w:r>
        <w:rPr>
          <w:rFonts w:ascii="Arial" w:hAnsi="Arial"/>
          <w:color w:val="1F2B27"/>
          <w:sz w:val="20"/>
        </w:rPr>
        <w:t>Year 2 infrastructure: RM2,000/year base continuity.</w:t>
      </w:r>
    </w:p>
    <w:p>
      <w:pPr>
        <w:pStyle w:val="ListBullet"/>
        <w:ind w:left="259" w:hanging="173"/>
      </w:pPr>
      <w:r>
        <w:rPr>
          <w:rFonts w:ascii="Arial" w:hAnsi="Arial"/>
          <w:color w:val="1F2B27"/>
          <w:sz w:val="20"/>
        </w:rPr>
        <w:t>Optional training at Maypreen premises: +RM500 logistics.</w:t>
      </w:r>
    </w:p>
    <w:p>
      <w:pPr>
        <w:pStyle w:val="ListBullet"/>
        <w:ind w:left="259" w:hanging="173"/>
      </w:pPr>
      <w:r>
        <w:rPr>
          <w:rFonts w:ascii="Arial" w:hAnsi="Arial"/>
          <w:color w:val="1F2B27"/>
          <w:sz w:val="20"/>
        </w:rPr>
        <w:t>Future modules: indicative RM5,000–RM10,000+ per defined module.</w:t>
      </w:r>
    </w:p>
    <w:p>
      <w:pPr>
        <w:pStyle w:val="Heading1"/>
      </w:pPr>
      <w:r>
        <w:t>5. Managed Website — Published Commercial Reference</w:t>
      </w:r>
    </w:p>
    <w:p>
      <w:r>
        <w:rPr>
          <w:rFonts w:ascii="Arial" w:hAnsi="Arial"/>
          <w:color w:val="1F2B27"/>
          <w:sz w:val="20"/>
        </w:rPr>
        <w:t>The proposal page itself does not lock Maypreen to a single website tier. Current AINNA managed website references include:</w:t>
      </w:r>
    </w:p>
    <w:p>
      <w:pPr>
        <w:pStyle w:val="ListBullet"/>
        <w:ind w:left="259" w:hanging="173"/>
      </w:pPr>
      <w:r>
        <w:rPr>
          <w:rFonts w:ascii="Arial" w:hAnsi="Arial"/>
          <w:color w:val="1F2B27"/>
          <w:sz w:val="20"/>
        </w:rPr>
        <w:t>Business Website — RM5,000: AI Understands &amp; Assists.</w:t>
      </w:r>
    </w:p>
    <w:p>
      <w:pPr>
        <w:pStyle w:val="ListBullet"/>
        <w:ind w:left="259" w:hanging="173"/>
      </w:pPr>
      <w:r>
        <w:rPr>
          <w:rFonts w:ascii="Arial" w:hAnsi="Arial"/>
          <w:color w:val="1F2B27"/>
          <w:sz w:val="20"/>
        </w:rPr>
        <w:t>NeuralOps Website — RM10,000: AI Operates &amp; Automates.</w:t>
      </w:r>
    </w:p>
    <w:p>
      <w:r>
        <w:rPr>
          <w:rFonts w:ascii="Arial" w:hAnsi="Arial"/>
          <w:color w:val="1F2B27"/>
          <w:sz w:val="20"/>
        </w:rPr>
        <w:t>The final Maypreen website price should be issued only after confirming scope, integrations, maintenance, hosting, AI/model usage and other operating requirements.</w:t>
      </w:r>
    </w:p>
    <w:p>
      <w:pPr>
        <w:pStyle w:val="Heading1"/>
      </w:pPr>
      <w:r>
        <w:t>6. Suggested Implementation Logic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cantSplit/>
        </w:trPr>
        <w:tc>
          <w:tcPr>
            <w:tcW w:type="dxa" w:w="5083"/>
            <w:shd w:fill="F7FAF8"/>
            <w:tcMar>
              <w:top w:w="140" w:type="dxa"/>
              <w:start w:w="140" w:type="dxa"/>
              <w:bottom w:w="140" w:type="dxa"/>
              <w:end w:w="140" w:type="dxa"/>
            </w:tcMar>
            <w:vAlign w:val="top"/>
          </w:tcPr>
          <w:p>
            <w:r>
              <w:rPr>
                <w:rFonts w:ascii="Arial" w:hAnsi="Arial"/>
                <w:b/>
                <w:color w:val="2C6B57"/>
                <w:sz w:val="21"/>
              </w:rPr>
              <w:t>IMMEDIATE</w:t>
            </w:r>
          </w:p>
          <w:p>
            <w:r>
              <w:rPr>
                <w:rFonts w:ascii="Arial" w:hAnsi="Arial"/>
                <w:color w:val="1F2B27"/>
                <w:sz w:val="18"/>
              </w:rPr>
              <w:t>Use the managed route if Maypreen needs a faster launch or improvement with minimal internal technical workload.</w:t>
            </w:r>
          </w:p>
        </w:tc>
        <w:tc>
          <w:tcPr>
            <w:tcW w:type="dxa" w:w="5083"/>
            <w:shd w:fill="F7FAF8"/>
            <w:tcMar>
              <w:top w:w="140" w:type="dxa"/>
              <w:start w:w="140" w:type="dxa"/>
              <w:bottom w:w="140" w:type="dxa"/>
              <w:end w:w="140" w:type="dxa"/>
            </w:tcMar>
            <w:vAlign w:val="top"/>
          </w:tcPr>
          <w:p>
            <w:r>
              <w:rPr>
                <w:rFonts w:ascii="Arial" w:hAnsi="Arial"/>
                <w:b/>
                <w:color w:val="2C6B57"/>
                <w:sz w:val="21"/>
              </w:rPr>
              <w:t>CAPABILITY</w:t>
            </w:r>
          </w:p>
          <w:p>
            <w:r>
              <w:rPr>
                <w:rFonts w:ascii="Arial" w:hAnsi="Arial"/>
                <w:color w:val="1F2B27"/>
                <w:sz w:val="18"/>
              </w:rPr>
              <w:t>Run the three-day programme when Maypreen is ready to nominate staff and select one real business output to build.</w:t>
            </w:r>
          </w:p>
        </w:tc>
      </w:tr>
      <w:tr>
        <w:trPr>
          <w:cantSplit/>
        </w:trPr>
        <w:tc>
          <w:tcPr>
            <w:tcW w:type="dxa" w:w="5083"/>
            <w:shd w:fill="F7FAF8"/>
            <w:tcMar>
              <w:top w:w="140" w:type="dxa"/>
              <w:start w:w="140" w:type="dxa"/>
              <w:bottom w:w="140" w:type="dxa"/>
              <w:end w:w="140" w:type="dxa"/>
            </w:tcMar>
            <w:vAlign w:val="top"/>
          </w:tcPr>
          <w:p>
            <w:r>
              <w:rPr>
                <w:rFonts w:ascii="Arial" w:hAnsi="Arial"/>
                <w:b/>
                <w:color w:val="2C6B57"/>
                <w:sz w:val="21"/>
              </w:rPr>
              <w:t>HYBRID</w:t>
            </w:r>
          </w:p>
          <w:p>
            <w:r>
              <w:rPr>
                <w:rFonts w:ascii="Arial" w:hAnsi="Arial"/>
                <w:color w:val="1F2B27"/>
                <w:sz w:val="18"/>
              </w:rPr>
              <w:t>Keep the managed website operating while Maypreen gradually develops the ability to build selected internal systems.</w:t>
            </w:r>
          </w:p>
        </w:tc>
        <w:tc>
          <w:tcPr>
            <w:tcW w:type="dxa" w:w="5083"/>
            <w:shd w:fill="F7FAF8"/>
            <w:tcMar>
              <w:top w:w="140" w:type="dxa"/>
              <w:start w:w="140" w:type="dxa"/>
              <w:bottom w:w="140" w:type="dxa"/>
              <w:end w:w="140" w:type="dxa"/>
            </w:tcMar>
            <w:vAlign w:val="top"/>
          </w:tcPr>
          <w:p>
            <w:r>
              <w:rPr>
                <w:rFonts w:ascii="Arial" w:hAnsi="Arial"/>
                <w:b/>
                <w:color w:val="2C6B57"/>
                <w:sz w:val="21"/>
              </w:rPr>
              <w:t>EXPANSION</w:t>
            </w:r>
          </w:p>
          <w:p>
            <w:r>
              <w:rPr>
                <w:rFonts w:ascii="Arial" w:hAnsi="Arial"/>
                <w:color w:val="1F2B27"/>
                <w:sz w:val="18"/>
              </w:rPr>
              <w:t>Add business modules one at a time — inventory, sales, CRM, production, fulfilment, finance, supplier or marketing — based on priority.</w:t>
            </w:r>
          </w:p>
        </w:tc>
      </w:tr>
    </w:tbl>
    <w:p>
      <w:pPr>
        <w:pStyle w:val="Heading1"/>
      </w:pPr>
      <w:r>
        <w:t>7. Next Decision Required</w:t>
      </w:r>
    </w:p>
    <w:p>
      <w:pPr>
        <w:pStyle w:val="ListNumber"/>
      </w:pPr>
      <w:r>
        <w:rPr>
          <w:rFonts w:ascii="Arial" w:hAnsi="Arial"/>
          <w:color w:val="1F2B27"/>
          <w:sz w:val="20"/>
        </w:rPr>
        <w:t>Choose the immediate operating model: Managed, Capability, or Hybrid.</w:t>
      </w:r>
    </w:p>
    <w:p>
      <w:pPr>
        <w:pStyle w:val="ListNumber"/>
      </w:pPr>
      <w:r>
        <w:rPr>
          <w:rFonts w:ascii="Arial" w:hAnsi="Arial"/>
          <w:color w:val="1F2B27"/>
          <w:sz w:val="20"/>
        </w:rPr>
        <w:t>Define the first measurable output.</w:t>
      </w:r>
    </w:p>
    <w:p>
      <w:pPr>
        <w:pStyle w:val="ListNumber"/>
      </w:pPr>
      <w:r>
        <w:rPr>
          <w:rFonts w:ascii="Arial" w:hAnsi="Arial"/>
          <w:color w:val="1F2B27"/>
          <w:sz w:val="20"/>
        </w:rPr>
        <w:t>Confirm responsibilities, infrastructure and integrations.</w:t>
      </w:r>
    </w:p>
    <w:p>
      <w:pPr>
        <w:pStyle w:val="ListNumber"/>
      </w:pPr>
      <w:r>
        <w:rPr>
          <w:rFonts w:ascii="Arial" w:hAnsi="Arial"/>
          <w:color w:val="1F2B27"/>
          <w:sz w:val="20"/>
        </w:rPr>
        <w:t>Issue the final Maypreen-specific quotation and implementation scope.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EF4F1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/>
                <w:b/>
                <w:color w:val="2C6B57"/>
                <w:sz w:val="20"/>
              </w:rPr>
              <w:t>EXECUTIVE TAKEAWAY</w:t>
            </w:r>
          </w:p>
          <w:p>
            <w:r>
              <w:rPr>
                <w:rFonts w:ascii="Arial" w:hAnsi="Arial"/>
                <w:b/>
                <w:color w:val="1F2B27"/>
                <w:sz w:val="22"/>
              </w:rPr>
              <w:t>The managed path buys speed. The capability path builds ownership. The hybrid path lets Maypreen secure both in stages.</w:t>
            </w:r>
          </w:p>
        </w:tc>
      </w:tr>
    </w:tbl>
    <w:p>
      <w:pPr>
        <w:jc w:val="center"/>
      </w:pPr>
      <w:r>
        <w:rPr>
          <w:rFonts w:ascii="Arial" w:hAnsi="Arial"/>
          <w:b/>
          <w:color w:val="2C6B57"/>
          <w:sz w:val="26"/>
        </w:rPr>
        <w:t>MAYPREEN × AINNA</w:t>
      </w:r>
    </w:p>
    <w:p>
      <w:pPr>
        <w:jc w:val="center"/>
      </w:pPr>
      <w:r>
        <w:rPr>
          <w:rFonts w:ascii="Arial" w:hAnsi="Arial"/>
          <w:i/>
          <w:color w:val="52605A"/>
          <w:sz w:val="20"/>
        </w:rPr>
        <w:t>Two paths. One objective: a digital capability that keeps working.</w:t>
      </w:r>
    </w:p>
    <w:p>
      <w:r>
        <w:rPr>
          <w:rFonts w:ascii="Arial" w:hAnsi="Arial"/>
          <w:b/>
          <w:color w:val="52605A"/>
          <w:sz w:val="15"/>
        </w:rPr>
        <w:t xml:space="preserve">Reference basis: </w:t>
      </w:r>
      <w:r>
        <w:rPr>
          <w:rFonts w:ascii="Arial" w:hAnsi="Arial"/>
          <w:color w:val="52605A"/>
          <w:sz w:val="15"/>
        </w:rPr>
        <w:t>Maypreen × AINNA proposal page and linked AINNA service pages, reviewed 23 September 2026.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52605A"/>
        <w:sz w:val="16"/>
      </w:rPr>
      <w:t>Confidential proposal • September 2026</w:t>
    </w:r>
  </w:p>
  <w:p>
    <w:pPr>
      <w:jc w:val="right"/>
    </w:pPr>
    <w:r>
      <w:rPr>
        <w:color w:val="52605A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2C6B57"/>
        <w:sz w:val="16"/>
      </w:rPr>
      <w:t>MAYPREEN × AINNA</w:t>
    </w:r>
    <w:r>
      <w:rPr>
        <w:rFonts w:ascii="Arial" w:hAnsi="Arial"/>
        <w:color w:val="52605A"/>
        <w:sz w:val="16"/>
      </w:rPr>
      <w:t xml:space="preserve">   |   WEBSITE &amp; AI CAPABILITY PROPOSAL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F2B2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2C6B5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F2B27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2B27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CapsLabel">
    <w:name w:val="Small Caps Label"/>
    <w:pPr>
      <w:spacing w:after="60"/>
    </w:pPr>
    <w:rPr>
      <w:rFonts w:ascii="Arial" w:hAnsi="Arial"/>
      <w:b/>
      <w:color w:val="2C6B57"/>
      <w:sz w:val="16"/>
    </w:rPr>
  </w:style>
  <w:style w:type="paragraph" w:customStyle="1" w:styleId="Callout">
    <w:name w:val="Callout"/>
    <w:pPr>
      <w:spacing w:before="100" w:after="160"/>
    </w:pPr>
    <w:rPr>
      <w:rFonts w:ascii="Arial" w:hAnsi="Arial"/>
      <w:b/>
      <w:color w:val="1F2B27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Maypreen × AINNA — Executive Summary</dc:title>
  <dc:subject/>
  <dc:creator>AINNA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