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yebrow"/>
      </w:pPr>
      <w:r>
        <w:t>EXECUTIVE SUMMARY</w:t>
      </w:r>
    </w:p>
    <w:p>
      <w:pPr>
        <w:pStyle w:val="Title"/>
      </w:pPr>
      <w:r>
        <w:t>10-Day SME Digital</w:t>
        <w:br/>
        <w:t>Transformation Programme</w:t>
      </w:r>
    </w:p>
    <w:p>
      <w:pPr>
        <w:pStyle w:val="Subtitle"/>
      </w:pPr>
      <w:r>
        <w:t>Website → Dashboard → E-Commerce → Business System → AI → Automation → Deployment</w:t>
      </w:r>
    </w:p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tcMar>
              <w:top w:w="120" w:type="dxa"/>
              <w:start w:w="140" w:type="dxa"/>
              <w:bottom w:w="120" w:type="dxa"/>
              <w:end w:w="140" w:type="dxa"/>
            </w:tcMar>
            <w:shd w:fill="EEF4F8"/>
            <w:vAlign w:val="center"/>
          </w:tcPr>
          <w:p>
            <w:pPr>
              <w:keepLines/>
              <w:spacing w:after="40"/>
            </w:pPr>
            <w:r>
              <w:rPr>
                <w:b/>
                <w:color w:val="17324D"/>
                <w:sz w:val="20"/>
              </w:rPr>
              <w:t>Prepared for</w:t>
            </w:r>
          </w:p>
          <w:p>
            <w:pPr>
              <w:keepLines/>
              <w:spacing w:after="40"/>
            </w:pPr>
            <w:r>
              <w:rPr>
                <w:color w:val="1B1F23"/>
                <w:sz w:val="18"/>
              </w:rPr>
              <w:t>UPM / MTDC stakeholder discussion</w:t>
            </w:r>
          </w:p>
        </w:tc>
        <w:tc>
          <w:tcPr>
            <w:tcW w:type="dxa" w:w="5083"/>
            <w:tcMar>
              <w:top w:w="120" w:type="dxa"/>
              <w:start w:w="140" w:type="dxa"/>
              <w:bottom w:w="120" w:type="dxa"/>
              <w:end w:w="140" w:type="dxa"/>
            </w:tcMar>
            <w:shd w:fill="F1F7F4"/>
            <w:vAlign w:val="center"/>
          </w:tcPr>
          <w:p>
            <w:pPr>
              <w:keepLines/>
              <w:spacing w:after="40"/>
            </w:pPr>
            <w:r>
              <w:rPr>
                <w:b/>
                <w:color w:val="17324D"/>
                <w:sz w:val="20"/>
              </w:rPr>
              <w:t>Proposed by</w:t>
            </w:r>
          </w:p>
          <w:p>
            <w:pPr>
              <w:keepLines/>
              <w:spacing w:after="40"/>
            </w:pPr>
            <w:r>
              <w:rPr>
                <w:color w:val="1B1F23"/>
                <w:sz w:val="18"/>
              </w:rPr>
              <w:t>AINNA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tcMar>
              <w:top w:w="120" w:type="dxa"/>
              <w:start w:w="100" w:type="dxa"/>
              <w:bottom w:w="120" w:type="dxa"/>
              <w:end w:w="100" w:type="dxa"/>
            </w:tcMar>
            <w:shd w:fill="F3F6F8"/>
            <w:vAlign w:val="center"/>
          </w:tcPr>
          <w:p>
            <w:pPr>
              <w:keepLines/>
              <w:spacing w:after="40"/>
              <w:jc w:val="center"/>
            </w:pPr>
            <w:r>
              <w:rPr>
                <w:b/>
                <w:color w:val="17324D"/>
                <w:sz w:val="32"/>
              </w:rPr>
              <w:t>10</w:t>
            </w:r>
          </w:p>
          <w:p>
            <w:pPr>
              <w:keepLines/>
              <w:spacing w:after="40"/>
              <w:jc w:val="center"/>
            </w:pPr>
            <w:r>
              <w:rPr>
                <w:color w:val="59636E"/>
                <w:sz w:val="16"/>
              </w:rPr>
              <w:t>Delivery Days</w:t>
            </w:r>
          </w:p>
        </w:tc>
        <w:tc>
          <w:tcPr>
            <w:tcW w:type="dxa" w:w="2541"/>
            <w:tcMar>
              <w:top w:w="120" w:type="dxa"/>
              <w:start w:w="100" w:type="dxa"/>
              <w:bottom w:w="120" w:type="dxa"/>
              <w:end w:w="100" w:type="dxa"/>
            </w:tcMar>
            <w:shd w:fill="F3F6F8"/>
            <w:vAlign w:val="center"/>
          </w:tcPr>
          <w:p>
            <w:pPr>
              <w:keepLines/>
              <w:spacing w:after="40"/>
              <w:jc w:val="center"/>
            </w:pPr>
            <w:r>
              <w:rPr>
                <w:b/>
                <w:color w:val="17324D"/>
                <w:sz w:val="32"/>
              </w:rPr>
              <w:t>3</w:t>
            </w:r>
          </w:p>
          <w:p>
            <w:pPr>
              <w:keepLines/>
              <w:spacing w:after="40"/>
              <w:jc w:val="center"/>
            </w:pPr>
            <w:r>
              <w:rPr>
                <w:color w:val="59636E"/>
                <w:sz w:val="16"/>
              </w:rPr>
              <w:t>Programme Levels</w:t>
            </w:r>
          </w:p>
        </w:tc>
        <w:tc>
          <w:tcPr>
            <w:tcW w:type="dxa" w:w="2541"/>
            <w:tcMar>
              <w:top w:w="120" w:type="dxa"/>
              <w:start w:w="100" w:type="dxa"/>
              <w:bottom w:w="120" w:type="dxa"/>
              <w:end w:w="100" w:type="dxa"/>
            </w:tcMar>
            <w:shd w:fill="F3F6F8"/>
            <w:vAlign w:val="center"/>
          </w:tcPr>
          <w:p>
            <w:pPr>
              <w:keepLines/>
              <w:spacing w:after="40"/>
              <w:jc w:val="center"/>
            </w:pPr>
            <w:r>
              <w:rPr>
                <w:b/>
                <w:color w:val="17324D"/>
                <w:sz w:val="32"/>
              </w:rPr>
              <w:t>10</w:t>
            </w:r>
          </w:p>
          <w:p>
            <w:pPr>
              <w:keepLines/>
              <w:spacing w:after="40"/>
              <w:jc w:val="center"/>
            </w:pPr>
            <w:r>
              <w:rPr>
                <w:color w:val="59636E"/>
                <w:sz w:val="16"/>
              </w:rPr>
              <w:t>Minimum Companies / Level</w:t>
            </w:r>
          </w:p>
        </w:tc>
        <w:tc>
          <w:tcPr>
            <w:tcW w:type="dxa" w:w="2541"/>
            <w:tcMar>
              <w:top w:w="120" w:type="dxa"/>
              <w:start w:w="100" w:type="dxa"/>
              <w:bottom w:w="120" w:type="dxa"/>
              <w:end w:w="100" w:type="dxa"/>
            </w:tcMar>
            <w:shd w:fill="F3F6F8"/>
            <w:vAlign w:val="center"/>
          </w:tcPr>
          <w:p>
            <w:pPr>
              <w:keepLines/>
              <w:spacing w:after="40"/>
              <w:jc w:val="center"/>
            </w:pPr>
            <w:r>
              <w:rPr>
                <w:b/>
                <w:color w:val="17324D"/>
                <w:sz w:val="32"/>
              </w:rPr>
              <w:t>RM11k</w:t>
            </w:r>
          </w:p>
          <w:p>
            <w:pPr>
              <w:keepLines/>
              <w:spacing w:after="40"/>
              <w:jc w:val="center"/>
            </w:pPr>
            <w:r>
              <w:rPr>
                <w:color w:val="59636E"/>
                <w:sz w:val="16"/>
              </w:rPr>
              <w:t>Full Programme / Company</w:t>
            </w:r>
          </w:p>
        </w:tc>
      </w:tr>
    </w:tbl>
    <w:p/>
    <w:p>
      <w:pPr>
        <w:pStyle w:val="Callout"/>
        <w:jc w:val="center"/>
      </w:pPr>
      <w:r>
        <w:t>Working systems. Not classroom-only training.</w:t>
      </w:r>
    </w:p>
    <w:p>
      <w:pPr>
        <w:pStyle w:val="Small"/>
        <w:jc w:val="center"/>
      </w:pPr>
      <w:r>
        <w:t>Document status: Draft for Stakeholder Discussion  |  20 September 2026</w:t>
      </w:r>
    </w:p>
    <w:p>
      <w:pPr>
        <w:pStyle w:val="Small"/>
        <w:jc w:val="center"/>
      </w:pPr>
      <w:r>
        <w:t>References to UPM, MTDC or the UPM-MTDC Technology Centre are for proposal context only and do not constitute formal endorsement, appointment or partnership approval unless separately confirmed.</w:t>
      </w:r>
    </w:p>
    <w:p>
      <w:r>
        <w:br w:type="page"/>
      </w:r>
    </w:p>
    <w:p>
      <w:pPr>
        <w:pStyle w:val="Heading1"/>
      </w:pPr>
      <w:r>
        <w:t>1. Executive Overview</w:t>
      </w:r>
    </w:p>
    <w:p>
      <w:r>
        <w:t>The 10-Day SME Digital Transformation Programme is a modular, implementation-led programme designed to move participating SMEs from fragmented digital tools to a deployable, company-owned digital operating environment. The programme combines guided learning with hands-on system development so each participating company works on its own website, dashboard, commerce workflow, business modules, AI-assisted processes and automation according to the level selected.</w:t>
      </w:r>
    </w:p>
    <w:p>
      <w:r>
        <w:t>The programme is structured around tangible outputs rather than classroom participation alone. Each level ends with defined quality gates, administrator access, deployment or production-readiness checks, and a clear handover path. Companies may take the full 10-day pathway or enter a later level if they already possess compatible systems and pass readiness assessment.</w:t>
      </w:r>
    </w:p>
    <w:p>
      <w:pPr>
        <w:pStyle w:val="Heading2"/>
      </w:pPr>
      <w:r>
        <w:t>Decision at a Glance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tcMar>
              <w:top w:w="120" w:type="dxa"/>
              <w:start w:w="100" w:type="dxa"/>
              <w:bottom w:w="120" w:type="dxa"/>
              <w:end w:w="100" w:type="dxa"/>
            </w:tcMar>
            <w:shd w:fill="F3F6F8"/>
            <w:vAlign w:val="center"/>
          </w:tcPr>
          <w:p>
            <w:pPr>
              <w:keepLines/>
              <w:spacing w:after="40"/>
              <w:jc w:val="center"/>
            </w:pPr>
            <w:r>
              <w:rPr>
                <w:b/>
                <w:color w:val="17324D"/>
                <w:sz w:val="32"/>
              </w:rPr>
              <w:t>3 Days</w:t>
            </w:r>
          </w:p>
          <w:p>
            <w:pPr>
              <w:keepLines/>
              <w:spacing w:after="40"/>
              <w:jc w:val="center"/>
            </w:pPr>
            <w:r>
              <w:rPr>
                <w:color w:val="59636E"/>
                <w:sz w:val="16"/>
              </w:rPr>
              <w:t>Basic</w:t>
            </w:r>
          </w:p>
        </w:tc>
        <w:tc>
          <w:tcPr>
            <w:tcW w:type="dxa" w:w="2541"/>
            <w:tcMar>
              <w:top w:w="120" w:type="dxa"/>
              <w:start w:w="100" w:type="dxa"/>
              <w:bottom w:w="120" w:type="dxa"/>
              <w:end w:w="100" w:type="dxa"/>
            </w:tcMar>
            <w:shd w:fill="F3F6F8"/>
            <w:vAlign w:val="center"/>
          </w:tcPr>
          <w:p>
            <w:pPr>
              <w:keepLines/>
              <w:spacing w:after="40"/>
              <w:jc w:val="center"/>
            </w:pPr>
            <w:r>
              <w:rPr>
                <w:b/>
                <w:color w:val="17324D"/>
                <w:sz w:val="32"/>
              </w:rPr>
              <w:t>3 Days</w:t>
            </w:r>
          </w:p>
          <w:p>
            <w:pPr>
              <w:keepLines/>
              <w:spacing w:after="40"/>
              <w:jc w:val="center"/>
            </w:pPr>
            <w:r>
              <w:rPr>
                <w:color w:val="59636E"/>
                <w:sz w:val="16"/>
              </w:rPr>
              <w:t>Intermediate</w:t>
            </w:r>
          </w:p>
        </w:tc>
        <w:tc>
          <w:tcPr>
            <w:tcW w:type="dxa" w:w="2541"/>
            <w:tcMar>
              <w:top w:w="120" w:type="dxa"/>
              <w:start w:w="100" w:type="dxa"/>
              <w:bottom w:w="120" w:type="dxa"/>
              <w:end w:w="100" w:type="dxa"/>
            </w:tcMar>
            <w:shd w:fill="F3F6F8"/>
            <w:vAlign w:val="center"/>
          </w:tcPr>
          <w:p>
            <w:pPr>
              <w:keepLines/>
              <w:spacing w:after="40"/>
              <w:jc w:val="center"/>
            </w:pPr>
            <w:r>
              <w:rPr>
                <w:b/>
                <w:color w:val="17324D"/>
                <w:sz w:val="32"/>
              </w:rPr>
              <w:t>4 Days</w:t>
            </w:r>
          </w:p>
          <w:p>
            <w:pPr>
              <w:keepLines/>
              <w:spacing w:after="40"/>
              <w:jc w:val="center"/>
            </w:pPr>
            <w:r>
              <w:rPr>
                <w:color w:val="59636E"/>
                <w:sz w:val="16"/>
              </w:rPr>
              <w:t>Advanced</w:t>
            </w:r>
          </w:p>
        </w:tc>
        <w:tc>
          <w:tcPr>
            <w:tcW w:type="dxa" w:w="2541"/>
            <w:tcMar>
              <w:top w:w="120" w:type="dxa"/>
              <w:start w:w="100" w:type="dxa"/>
              <w:bottom w:w="120" w:type="dxa"/>
              <w:end w:w="100" w:type="dxa"/>
            </w:tcMar>
            <w:shd w:fill="F3F6F8"/>
            <w:vAlign w:val="center"/>
          </w:tcPr>
          <w:p>
            <w:pPr>
              <w:keepLines/>
              <w:spacing w:after="40"/>
              <w:jc w:val="center"/>
            </w:pPr>
            <w:r>
              <w:rPr>
                <w:b/>
                <w:color w:val="17324D"/>
                <w:sz w:val="32"/>
              </w:rPr>
              <w:t>Day 10</w:t>
            </w:r>
          </w:p>
          <w:p>
            <w:pPr>
              <w:keepLines/>
              <w:spacing w:after="40"/>
              <w:jc w:val="center"/>
            </w:pPr>
            <w:r>
              <w:rPr>
                <w:color w:val="59636E"/>
                <w:sz w:val="16"/>
              </w:rPr>
              <w:t>Demo + Handover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tcMar>
              <w:top w:w="120" w:type="dxa"/>
              <w:start w:w="140" w:type="dxa"/>
              <w:bottom w:w="120" w:type="dxa"/>
              <w:end w:w="140" w:type="dxa"/>
            </w:tcMar>
            <w:shd w:fill="EEF4F8"/>
            <w:vAlign w:val="center"/>
          </w:tcPr>
          <w:p>
            <w:pPr>
              <w:keepLines/>
              <w:spacing w:after="40"/>
            </w:pPr>
            <w:r>
              <w:rPr>
                <w:b/>
                <w:color w:val="17324D"/>
                <w:sz w:val="20"/>
              </w:rPr>
              <w:t>Core proposition</w:t>
            </w:r>
          </w:p>
          <w:p>
            <w:pPr>
              <w:keepLines/>
              <w:spacing w:after="40"/>
            </w:pPr>
            <w:r>
              <w:rPr>
                <w:color w:val="1B1F23"/>
                <w:sz w:val="18"/>
              </w:rPr>
              <w:t>Build, secure, deploy and operate a practical SME digital system using the company’s own information and workflows.</w:t>
            </w:r>
          </w:p>
        </w:tc>
        <w:tc>
          <w:tcPr>
            <w:tcW w:type="dxa" w:w="5083"/>
            <w:tcMar>
              <w:top w:w="120" w:type="dxa"/>
              <w:start w:w="140" w:type="dxa"/>
              <w:bottom w:w="120" w:type="dxa"/>
              <w:end w:w="140" w:type="dxa"/>
            </w:tcMar>
            <w:shd w:fill="F1F7F4"/>
            <w:vAlign w:val="center"/>
          </w:tcPr>
          <w:p>
            <w:pPr>
              <w:keepLines/>
              <w:spacing w:after="40"/>
            </w:pPr>
            <w:r>
              <w:rPr>
                <w:b/>
                <w:color w:val="17324D"/>
                <w:sz w:val="20"/>
              </w:rPr>
              <w:t>Commercial model</w:t>
            </w:r>
          </w:p>
          <w:p>
            <w:pPr>
              <w:keepLines/>
              <w:spacing w:after="40"/>
            </w:pPr>
            <w:r>
              <w:rPr>
                <w:color w:val="1B1F23"/>
                <w:sz w:val="18"/>
              </w:rPr>
              <w:t>RM11,000 programme fee per company for the full 10-day pathway, plus infrastructure and optional AI deployment as separately stated.</w:t>
            </w:r>
          </w:p>
        </w:tc>
      </w:tr>
    </w:tbl>
    <w:p>
      <w:pPr>
        <w:pStyle w:val="Heading2"/>
      </w:pPr>
      <w:r>
        <w:t>Why This Programme</w:t>
      </w:r>
    </w:p>
    <w:p>
      <w:pPr>
        <w:pStyle w:val="ListBullet"/>
        <w:spacing w:after="60"/>
      </w:pPr>
      <w:r>
        <w:t>SMEs often accumulate disconnected websites, spreadsheets, marketplaces, messaging channels and AI subscriptions without an integrated operating model.</w:t>
      </w:r>
    </w:p>
    <w:p>
      <w:pPr>
        <w:pStyle w:val="ListBullet"/>
        <w:spacing w:after="60"/>
      </w:pPr>
      <w:r>
        <w:t>The staged programme creates a practical sequence: digital foundation → commerce → operational modules → AI and automation → production handover.</w:t>
      </w:r>
    </w:p>
    <w:p>
      <w:pPr>
        <w:pStyle w:val="ListBullet"/>
        <w:spacing w:after="60"/>
      </w:pPr>
      <w:r>
        <w:t>The modular model avoids forcing every SME into the same system scope; Advanced modules are selected according to confirmed requirements and available data.</w:t>
      </w:r>
    </w:p>
    <w:p>
      <w:pPr>
        <w:pStyle w:val="ListBullet"/>
        <w:spacing w:after="60"/>
      </w:pPr>
      <w:r>
        <w:t>The programme is designed to create capability inside the participating company, with a nominated administrator and a 30/60/90-day continuity roadmap.</w:t>
      </w:r>
    </w:p>
    <w:p>
      <w:r>
        <w:br w:type="page"/>
      </w:r>
    </w:p>
    <w:p>
      <w:pPr>
        <w:pStyle w:val="Heading1"/>
      </w:pPr>
      <w:r>
        <w:t>2. Programme Structure and Outcomes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</w:trPr>
        <w:tc>
          <w:tcPr>
            <w:tcW w:type="dxa" w:w="2033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Lines/>
              <w:spacing w:after="40"/>
            </w:pPr>
            <w:r>
              <w:rPr>
                <w:b/>
                <w:color w:val="FFFFFF"/>
                <w:sz w:val="16"/>
              </w:rPr>
              <w:t>Level</w:t>
            </w:r>
          </w:p>
        </w:tc>
        <w:tc>
          <w:tcPr>
            <w:tcW w:type="dxa" w:w="2033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Lines/>
              <w:spacing w:after="40"/>
            </w:pPr>
            <w:r>
              <w:rPr>
                <w:b/>
                <w:color w:val="FFFFFF"/>
                <w:sz w:val="16"/>
              </w:rPr>
              <w:t>Duration</w:t>
            </w:r>
          </w:p>
        </w:tc>
        <w:tc>
          <w:tcPr>
            <w:tcW w:type="dxa" w:w="2033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Lines/>
              <w:spacing w:after="40"/>
            </w:pPr>
            <w:r>
              <w:rPr>
                <w:b/>
                <w:color w:val="FFFFFF"/>
                <w:sz w:val="16"/>
              </w:rPr>
              <w:t>Fee / Company</w:t>
            </w:r>
          </w:p>
        </w:tc>
        <w:tc>
          <w:tcPr>
            <w:tcW w:type="dxa" w:w="2033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Lines/>
              <w:spacing w:after="40"/>
            </w:pPr>
            <w:r>
              <w:rPr>
                <w:b/>
                <w:color w:val="FFFFFF"/>
                <w:sz w:val="16"/>
              </w:rPr>
              <w:t>Primary Focus</w:t>
            </w:r>
          </w:p>
        </w:tc>
        <w:tc>
          <w:tcPr>
            <w:tcW w:type="dxa" w:w="2033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Lines/>
              <w:spacing w:after="40"/>
            </w:pPr>
            <w:r>
              <w:rPr>
                <w:b/>
                <w:color w:val="FFFFFF"/>
                <w:sz w:val="16"/>
              </w:rPr>
              <w:t>Key Output</w:t>
            </w:r>
          </w:p>
        </w:tc>
      </w:tr>
      <w:tr>
        <w:tc>
          <w:tcPr>
            <w:tcW w:type="dxa" w:w="20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Basic</w:t>
            </w:r>
          </w:p>
        </w:tc>
        <w:tc>
          <w:tcPr>
            <w:tcW w:type="dxa" w:w="20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3 Days</w:t>
            </w:r>
          </w:p>
        </w:tc>
        <w:tc>
          <w:tcPr>
            <w:tcW w:type="dxa" w:w="20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RM3,000</w:t>
            </w:r>
          </w:p>
        </w:tc>
        <w:tc>
          <w:tcPr>
            <w:tcW w:type="dxa" w:w="20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Website, SEO, security, dashboard</w:t>
            </w:r>
          </w:p>
        </w:tc>
        <w:tc>
          <w:tcPr>
            <w:tcW w:type="dxa" w:w="20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Deployed business website + dashboard foundation</w:t>
            </w:r>
          </w:p>
        </w:tc>
      </w:tr>
      <w:tr>
        <w:tc>
          <w:tcPr>
            <w:tcW w:type="dxa" w:w="20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Intermediate</w:t>
            </w:r>
          </w:p>
        </w:tc>
        <w:tc>
          <w:tcPr>
            <w:tcW w:type="dxa" w:w="20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3 Days</w:t>
            </w:r>
          </w:p>
        </w:tc>
        <w:tc>
          <w:tcPr>
            <w:tcW w:type="dxa" w:w="20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RM3,000</w:t>
            </w:r>
          </w:p>
        </w:tc>
        <w:tc>
          <w:tcPr>
            <w:tcW w:type="dxa" w:w="20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E-commerce architecture and workflow</w:t>
            </w:r>
          </w:p>
        </w:tc>
        <w:tc>
          <w:tcPr>
            <w:tcW w:type="dxa" w:w="20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Catalogue, cart/checkout, orders and commerce admin</w:t>
            </w:r>
          </w:p>
        </w:tc>
      </w:tr>
      <w:tr>
        <w:tc>
          <w:tcPr>
            <w:tcW w:type="dxa" w:w="20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Advanced</w:t>
            </w:r>
          </w:p>
        </w:tc>
        <w:tc>
          <w:tcPr>
            <w:tcW w:type="dxa" w:w="20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4 Days</w:t>
            </w:r>
          </w:p>
        </w:tc>
        <w:tc>
          <w:tcPr>
            <w:tcW w:type="dxa" w:w="20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RM5,000</w:t>
            </w:r>
          </w:p>
        </w:tc>
        <w:tc>
          <w:tcPr>
            <w:tcW w:type="dxa" w:w="20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Business modules, AI, automation, integration</w:t>
            </w:r>
          </w:p>
        </w:tc>
        <w:tc>
          <w:tcPr>
            <w:tcW w:type="dxa" w:w="20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Selected operational system + AI-assisted workflow + handover</w:t>
            </w:r>
          </w:p>
        </w:tc>
      </w:tr>
    </w:tbl>
    <w:p>
      <w:pPr>
        <w:pStyle w:val="Heading2"/>
      </w:pPr>
      <w:r>
        <w:t>10-Day Delivery Sequence</w:t>
      </w:r>
    </w:p>
    <w:p>
      <w:pPr>
        <w:spacing w:after="40"/>
      </w:pPr>
      <w:r>
        <w:rPr>
          <w:b/>
          <w:color w:val="1F5A94"/>
        </w:rPr>
        <w:t xml:space="preserve">Day 1 — </w:t>
      </w:r>
      <w:r>
        <w:t>Business foundation, website architecture, SEO and security</w:t>
      </w:r>
    </w:p>
    <w:p>
      <w:pPr>
        <w:spacing w:after="40"/>
      </w:pPr>
      <w:r>
        <w:rPr>
          <w:b/>
          <w:color w:val="1F5A94"/>
        </w:rPr>
        <w:t xml:space="preserve">Day 2 — </w:t>
      </w:r>
      <w:r>
        <w:t>Website build and content</w:t>
      </w:r>
    </w:p>
    <w:p>
      <w:pPr>
        <w:spacing w:after="40"/>
      </w:pPr>
      <w:r>
        <w:rPr>
          <w:b/>
          <w:color w:val="1F5A94"/>
        </w:rPr>
        <w:t xml:space="preserve">Day 3 — </w:t>
      </w:r>
      <w:r>
        <w:t>Dashboard, validation, deployment and admin training</w:t>
      </w:r>
    </w:p>
    <w:p>
      <w:pPr>
        <w:spacing w:after="40"/>
      </w:pPr>
      <w:r>
        <w:rPr>
          <w:b/>
          <w:color w:val="1F5A94"/>
        </w:rPr>
        <w:t xml:space="preserve">Day 4 — </w:t>
      </w:r>
      <w:r>
        <w:t>E-commerce architecture</w:t>
      </w:r>
    </w:p>
    <w:p>
      <w:pPr>
        <w:spacing w:after="40"/>
      </w:pPr>
      <w:r>
        <w:rPr>
          <w:b/>
          <w:color w:val="1F5A94"/>
        </w:rPr>
        <w:t xml:space="preserve">Day 5 — </w:t>
      </w:r>
      <w:r>
        <w:t>E-commerce build</w:t>
      </w:r>
    </w:p>
    <w:p>
      <w:pPr>
        <w:spacing w:after="40"/>
      </w:pPr>
      <w:r>
        <w:rPr>
          <w:b/>
          <w:color w:val="1F5A94"/>
        </w:rPr>
        <w:t xml:space="preserve">Day 6 — </w:t>
      </w:r>
      <w:r>
        <w:t>Commerce integration, testing and deployment</w:t>
      </w:r>
    </w:p>
    <w:p>
      <w:pPr>
        <w:spacing w:after="40"/>
      </w:pPr>
      <w:r>
        <w:rPr>
          <w:b/>
          <w:color w:val="1F5A94"/>
        </w:rPr>
        <w:t xml:space="preserve">Day 7 — </w:t>
      </w:r>
      <w:r>
        <w:t>Business system architecture</w:t>
      </w:r>
    </w:p>
    <w:p>
      <w:pPr>
        <w:spacing w:after="40"/>
      </w:pPr>
      <w:r>
        <w:rPr>
          <w:b/>
          <w:color w:val="1F5A94"/>
        </w:rPr>
        <w:t xml:space="preserve">Day 8 — </w:t>
      </w:r>
      <w:r>
        <w:t>Selected operational modules</w:t>
      </w:r>
    </w:p>
    <w:p>
      <w:pPr>
        <w:spacing w:after="40"/>
      </w:pPr>
      <w:r>
        <w:rPr>
          <w:b/>
          <w:color w:val="1F5A94"/>
        </w:rPr>
        <w:t xml:space="preserve">Day 9 — </w:t>
      </w:r>
      <w:r>
        <w:t>AI, automation and integration</w:t>
      </w:r>
    </w:p>
    <w:p>
      <w:pPr>
        <w:spacing w:after="40"/>
      </w:pPr>
      <w:r>
        <w:rPr>
          <w:b/>
          <w:color w:val="1F5A94"/>
        </w:rPr>
        <w:t xml:space="preserve">Day 10 — </w:t>
      </w:r>
      <w:r>
        <w:t>Final testing, deployment, live demo, administrator training and official handover</w:t>
      </w:r>
    </w:p>
    <w:p>
      <w:pPr>
        <w:pStyle w:val="Heading2"/>
      </w:pPr>
      <w:r>
        <w:t>Expected Company Deliverables</w:t>
      </w:r>
    </w:p>
    <w:p>
      <w:pPr>
        <w:pStyle w:val="ListBullet"/>
        <w:spacing w:after="60"/>
      </w:pPr>
      <w:r>
        <w:t>Working business website with SEO and security foundations.</w:t>
      </w:r>
    </w:p>
    <w:p>
      <w:pPr>
        <w:pStyle w:val="ListBullet"/>
        <w:spacing w:after="60"/>
      </w:pPr>
      <w:r>
        <w:t>Management dashboard and controlled administrator access.</w:t>
      </w:r>
    </w:p>
    <w:p>
      <w:pPr>
        <w:pStyle w:val="ListBullet"/>
        <w:spacing w:after="60"/>
      </w:pPr>
      <w:r>
        <w:t>E-commerce capability where Intermediate is selected.</w:t>
      </w:r>
    </w:p>
    <w:p>
      <w:pPr>
        <w:pStyle w:val="ListBullet"/>
        <w:spacing w:after="60"/>
      </w:pPr>
      <w:r>
        <w:t>Selected business modules based on confirmed Advanced-level requirements.</w:t>
      </w:r>
    </w:p>
    <w:p>
      <w:pPr>
        <w:pStyle w:val="ListBullet"/>
        <w:spacing w:after="60"/>
      </w:pPr>
      <w:r>
        <w:t>AI-assisted workflows and automation where technically appropriate.</w:t>
      </w:r>
    </w:p>
    <w:p>
      <w:pPr>
        <w:pStyle w:val="ListBullet"/>
        <w:spacing w:after="60"/>
      </w:pPr>
      <w:r>
        <w:t>Production deployment, administrator training, documentation and handover.</w:t>
      </w:r>
    </w:p>
    <w:p>
      <w:pPr>
        <w:pStyle w:val="ListBullet"/>
        <w:spacing w:after="60"/>
      </w:pPr>
      <w:r>
        <w:t>30/60/90-day implementation roadmap for continued adoption and improvement.</w:t>
      </w:r>
    </w:p>
    <w:p>
      <w:r>
        <w:br w:type="page"/>
      </w:r>
    </w:p>
    <w:p>
      <w:pPr>
        <w:pStyle w:val="Heading1"/>
      </w:pPr>
      <w:r>
        <w:t>3. Commercial Structure</w:t>
      </w:r>
    </w:p>
    <w:p>
      <w:r>
        <w:t>The commercial model deliberately separates programme delivery, infrastructure and optional AI deployment so participating companies can see what is compulsory and what is optional.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Lines/>
              <w:spacing w:after="40"/>
            </w:pPr>
            <w:r>
              <w:rPr>
                <w:b/>
                <w:color w:val="FFFFFF"/>
                <w:sz w:val="16"/>
              </w:rPr>
              <w:t>Item</w:t>
            </w:r>
          </w:p>
        </w:tc>
        <w:tc>
          <w:tcPr>
            <w:tcW w:type="dxa" w:w="3389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Lines/>
              <w:spacing w:after="40"/>
            </w:pPr>
            <w:r>
              <w:rPr>
                <w:b/>
                <w:color w:val="FFFFFF"/>
                <w:sz w:val="16"/>
              </w:rPr>
              <w:t>Price</w:t>
            </w:r>
          </w:p>
        </w:tc>
        <w:tc>
          <w:tcPr>
            <w:tcW w:type="dxa" w:w="3389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Lines/>
              <w:spacing w:after="40"/>
            </w:pPr>
            <w:r>
              <w:rPr>
                <w:b/>
                <w:color w:val="FFFFFF"/>
                <w:sz w:val="16"/>
              </w:rPr>
              <w:t>Commercial Treatment</w:t>
            </w:r>
          </w:p>
        </w:tc>
      </w:tr>
      <w:tr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Basic — 3 days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RM3,000 / company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Programme fee</w:t>
            </w:r>
          </w:p>
        </w:tc>
      </w:tr>
      <w:tr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Intermediate — 3 days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RM3,000 / company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Programme fee</w:t>
            </w:r>
          </w:p>
        </w:tc>
      </w:tr>
      <w:tr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Advanced — 4 days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RM5,000 / company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Programme fee</w:t>
            </w:r>
          </w:p>
        </w:tc>
      </w:tr>
      <w:tr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Full programme — 10 days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RM11,000 / company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Programme fee</w:t>
            </w:r>
          </w:p>
        </w:tc>
      </w:tr>
      <w:tr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Year 1 infrastructure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RM500 / company / year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Required for hosted programme environment where applicable</w:t>
            </w:r>
          </w:p>
        </w:tc>
      </w:tr>
      <w:tr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Standard Year-1 total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RM11,500 / company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Full programme + Year 1 infrastructure</w:t>
            </w:r>
          </w:p>
        </w:tc>
      </w:tr>
      <w:tr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Optional initial AI model deployment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RM1,200 / company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Optional add-on</w:t>
            </w:r>
          </w:p>
        </w:tc>
      </w:tr>
      <w:tr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Year-1 total with optional AI deployment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RM12,700 / company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Only where optional AI deployment is selected</w:t>
            </w:r>
          </w:p>
        </w:tc>
      </w:tr>
      <w:tr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Year 2+ infrastructure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RM1,000 / company / year</w:t>
            </w:r>
          </w:p>
        </w:tc>
        <w:tc>
          <w:tcPr>
            <w:tcW w:type="dxa" w:w="338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pStyle w:val="TableText"/>
              <w:keepLines/>
              <w:spacing w:after="40"/>
            </w:pPr>
            <w:r>
              <w:t>Infrastructure only; AI model not included</w:t>
            </w:r>
          </w:p>
        </w:tc>
      </w:tr>
    </w:tbl>
    <w:p>
      <w:pPr>
        <w:pStyle w:val="Heading2"/>
      </w:pPr>
      <w:r>
        <w:t>Minimum Cohort</w:t>
      </w:r>
    </w:p>
    <w:p>
      <w:r>
        <w:t>Commercial rates are based on a minimum of 10 participating companies per programme level. Companies may participate modularly, subject to prerequisites and readiness assessment.</w:t>
      </w:r>
    </w:p>
    <w:p>
      <w:pPr>
        <w:pStyle w:val="Heading2"/>
      </w:pPr>
      <w:r>
        <w:t>Illustrative Minimum Cohort Value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tcMar>
              <w:top w:w="120" w:type="dxa"/>
              <w:start w:w="100" w:type="dxa"/>
              <w:bottom w:w="120" w:type="dxa"/>
              <w:end w:w="100" w:type="dxa"/>
            </w:tcMar>
            <w:shd w:fill="F3F6F8"/>
            <w:vAlign w:val="center"/>
          </w:tcPr>
          <w:p>
            <w:pPr>
              <w:keepLines/>
              <w:spacing w:after="40"/>
              <w:jc w:val="center"/>
            </w:pPr>
            <w:r>
              <w:rPr>
                <w:b/>
                <w:color w:val="17324D"/>
                <w:sz w:val="32"/>
              </w:rPr>
              <w:t>RM30k</w:t>
            </w:r>
          </w:p>
          <w:p>
            <w:pPr>
              <w:keepLines/>
              <w:spacing w:after="40"/>
              <w:jc w:val="center"/>
            </w:pPr>
            <w:r>
              <w:rPr>
                <w:color w:val="59636E"/>
                <w:sz w:val="16"/>
              </w:rPr>
              <w:t>Basic / 10 Companies</w:t>
            </w:r>
          </w:p>
        </w:tc>
        <w:tc>
          <w:tcPr>
            <w:tcW w:type="dxa" w:w="2541"/>
            <w:tcMar>
              <w:top w:w="120" w:type="dxa"/>
              <w:start w:w="100" w:type="dxa"/>
              <w:bottom w:w="120" w:type="dxa"/>
              <w:end w:w="100" w:type="dxa"/>
            </w:tcMar>
            <w:shd w:fill="F3F6F8"/>
            <w:vAlign w:val="center"/>
          </w:tcPr>
          <w:p>
            <w:pPr>
              <w:keepLines/>
              <w:spacing w:after="40"/>
              <w:jc w:val="center"/>
            </w:pPr>
            <w:r>
              <w:rPr>
                <w:b/>
                <w:color w:val="17324D"/>
                <w:sz w:val="32"/>
              </w:rPr>
              <w:t>RM30k</w:t>
            </w:r>
          </w:p>
          <w:p>
            <w:pPr>
              <w:keepLines/>
              <w:spacing w:after="40"/>
              <w:jc w:val="center"/>
            </w:pPr>
            <w:r>
              <w:rPr>
                <w:color w:val="59636E"/>
                <w:sz w:val="16"/>
              </w:rPr>
              <w:t>Intermediate / 10 Companies</w:t>
            </w:r>
          </w:p>
        </w:tc>
        <w:tc>
          <w:tcPr>
            <w:tcW w:type="dxa" w:w="2541"/>
            <w:tcMar>
              <w:top w:w="120" w:type="dxa"/>
              <w:start w:w="100" w:type="dxa"/>
              <w:bottom w:w="120" w:type="dxa"/>
              <w:end w:w="100" w:type="dxa"/>
            </w:tcMar>
            <w:shd w:fill="F3F6F8"/>
            <w:vAlign w:val="center"/>
          </w:tcPr>
          <w:p>
            <w:pPr>
              <w:keepLines/>
              <w:spacing w:after="40"/>
              <w:jc w:val="center"/>
            </w:pPr>
            <w:r>
              <w:rPr>
                <w:b/>
                <w:color w:val="17324D"/>
                <w:sz w:val="32"/>
              </w:rPr>
              <w:t>RM50k</w:t>
            </w:r>
          </w:p>
          <w:p>
            <w:pPr>
              <w:keepLines/>
              <w:spacing w:after="40"/>
              <w:jc w:val="center"/>
            </w:pPr>
            <w:r>
              <w:rPr>
                <w:color w:val="59636E"/>
                <w:sz w:val="16"/>
              </w:rPr>
              <w:t>Advanced / 10 Companies</w:t>
            </w:r>
          </w:p>
        </w:tc>
        <w:tc>
          <w:tcPr>
            <w:tcW w:type="dxa" w:w="2541"/>
            <w:tcMar>
              <w:top w:w="120" w:type="dxa"/>
              <w:start w:w="100" w:type="dxa"/>
              <w:bottom w:w="120" w:type="dxa"/>
              <w:end w:w="100" w:type="dxa"/>
            </w:tcMar>
            <w:shd w:fill="F3F6F8"/>
            <w:vAlign w:val="center"/>
          </w:tcPr>
          <w:p>
            <w:pPr>
              <w:keepLines/>
              <w:spacing w:after="40"/>
              <w:jc w:val="center"/>
            </w:pPr>
            <w:r>
              <w:rPr>
                <w:b/>
                <w:color w:val="17324D"/>
                <w:sz w:val="32"/>
              </w:rPr>
              <w:t>RM110k</w:t>
            </w:r>
          </w:p>
          <w:p>
            <w:pPr>
              <w:keepLines/>
              <w:spacing w:after="40"/>
              <w:jc w:val="center"/>
            </w:pPr>
            <w:r>
              <w:rPr>
                <w:color w:val="59636E"/>
                <w:sz w:val="16"/>
              </w:rPr>
              <w:t>Full Programme Fees / 10 Companies</w:t>
            </w:r>
          </w:p>
        </w:tc>
      </w:tr>
    </w:tbl>
    <w:p>
      <w:pPr>
        <w:pStyle w:val="Heading2"/>
      </w:pPr>
      <w:r>
        <w:t>Excluded / Quoted Separately</w:t>
      </w:r>
    </w:p>
    <w:p>
      <w:pPr>
        <w:pStyle w:val="ListBullet"/>
        <w:spacing w:after="60"/>
      </w:pPr>
      <w:r>
        <w:t>Domain registration and renewal.</w:t>
      </w:r>
    </w:p>
    <w:p>
      <w:pPr>
        <w:pStyle w:val="ListBullet"/>
        <w:spacing w:after="60"/>
      </w:pPr>
      <w:r>
        <w:t>Payment gateway, merchant and transaction fees.</w:t>
      </w:r>
    </w:p>
    <w:p>
      <w:pPr>
        <w:pStyle w:val="ListBullet"/>
        <w:spacing w:after="60"/>
      </w:pPr>
      <w:r>
        <w:t>Third-party APIs, external AI/LLM usage, SaaS subscriptions and premium licences.</w:t>
      </w:r>
    </w:p>
    <w:p>
      <w:pPr>
        <w:pStyle w:val="ListBullet"/>
        <w:spacing w:after="60"/>
      </w:pPr>
      <w:r>
        <w:t>Additional storage, GPU or non-standard compute requirements.</w:t>
      </w:r>
    </w:p>
    <w:p>
      <w:pPr>
        <w:pStyle w:val="ListBullet"/>
        <w:spacing w:after="60"/>
      </w:pPr>
      <w:r>
        <w:t>Custom integrations, migration or bespoke modules outside the agreed scope.</w:t>
      </w:r>
    </w:p>
    <w:p>
      <w:r>
        <w:br w:type="page"/>
      </w:r>
    </w:p>
    <w:p>
      <w:pPr>
        <w:pStyle w:val="Heading1"/>
      </w:pPr>
      <w:r>
        <w:t>4. Delivery Governance, Quality and Responsible AI</w:t>
      </w:r>
    </w:p>
    <w:p>
      <w:r>
        <w:t>Each level is completed through practical quality gates rather than attendance alone. Applicable checks include functional testing, mobile validation, access-control testing, security review, workflow testing, data validation, backup verification, deployment verification and administrator acceptance.</w:t>
      </w:r>
    </w:p>
    <w:p>
      <w:pPr>
        <w:pStyle w:val="Heading2"/>
      </w:pPr>
      <w:r>
        <w:t>AI and Automation Controls</w:t>
      </w:r>
    </w:p>
    <w:p>
      <w:pPr>
        <w:pStyle w:val="ListBullet"/>
        <w:spacing w:after="60"/>
      </w:pPr>
      <w:r>
        <w:t>AI is used selectively where it improves the workflow; it is not forced into every task.</w:t>
      </w:r>
    </w:p>
    <w:p>
      <w:pPr>
        <w:pStyle w:val="ListBullet"/>
        <w:spacing w:after="60"/>
      </w:pPr>
      <w:r>
        <w:t>Access should remain permission-controlled and limited to approved business data.</w:t>
      </w:r>
    </w:p>
    <w:p>
      <w:pPr>
        <w:pStyle w:val="ListBullet"/>
        <w:spacing w:after="60"/>
      </w:pPr>
      <w:r>
        <w:t>AI output remains subject to human review for operational decisions.</w:t>
      </w:r>
    </w:p>
    <w:p>
      <w:pPr>
        <w:pStyle w:val="ListBullet"/>
        <w:spacing w:after="60"/>
      </w:pPr>
      <w:r>
        <w:t>The AI Agent is positioned as an operational support and automation layer, not an unrestricted replacement for staff.</w:t>
      </w:r>
    </w:p>
    <w:p>
      <w:pPr>
        <w:pStyle w:val="Heading2"/>
      </w:pPr>
      <w:r>
        <w:t>Infrastructure and Model Choice</w:t>
      </w:r>
    </w:p>
    <w:p>
      <w:pPr>
        <w:pStyle w:val="ListBullet"/>
        <w:spacing w:after="60"/>
      </w:pPr>
      <w:r>
        <w:t>Year 1 infrastructure: RM500 per company per year.</w:t>
      </w:r>
    </w:p>
    <w:p>
      <w:pPr>
        <w:pStyle w:val="ListBullet"/>
        <w:spacing w:after="60"/>
      </w:pPr>
      <w:r>
        <w:t>Year 2+ infrastructure: RM1,000 per company per year.</w:t>
      </w:r>
    </w:p>
    <w:p>
      <w:pPr>
        <w:pStyle w:val="ListBullet"/>
        <w:spacing w:after="60"/>
      </w:pPr>
      <w:r>
        <w:t>Optional initial AI deployment: RM1,200 per company, which may include Ollama environment, Luna GPT / supported model, initial runtime configuration, basic integration and deployment.</w:t>
      </w:r>
    </w:p>
    <w:p>
      <w:pPr>
        <w:pStyle w:val="ListBullet"/>
        <w:spacing w:after="60"/>
      </w:pPr>
      <w:r>
        <w:t>From Year 2 onward, AI model/provider selection is separated from infrastructure. Companies may continue with a compatible local/open-source model, select an external provider, or subscribe to a future AINNA-managed model when commercially available. No future AI subscription price is fixed in this proposal.</w:t>
      </w:r>
    </w:p>
    <w:p>
      <w:pPr>
        <w:pStyle w:val="Heading1"/>
      </w:pPr>
      <w:r>
        <w:t>5. Proposed Stakeholder Decision</w:t>
      </w:r>
    </w:p>
    <w:p>
      <w:r>
        <w:t>To progress from proposal to implementation, the following decisions are required:</w:t>
      </w:r>
    </w:p>
    <w:p>
      <w:pPr>
        <w:pStyle w:val="ListNumber"/>
        <w:spacing w:after="60"/>
      </w:pPr>
      <w:r>
        <w:t>Confirm programme sponsor, programme owner and formal approval pathway.</w:t>
      </w:r>
    </w:p>
    <w:p>
      <w:pPr>
        <w:pStyle w:val="ListNumber"/>
        <w:spacing w:after="60"/>
      </w:pPr>
      <w:r>
        <w:t>Confirm final branding after approval: AINNA, MTDC × AINNA, or UPM × MTDC × AINNA.</w:t>
      </w:r>
    </w:p>
    <w:p>
      <w:pPr>
        <w:pStyle w:val="ListNumber"/>
        <w:spacing w:after="60"/>
      </w:pPr>
      <w:r>
        <w:t>Confirm target SME cohort, participant profile and whether participation is by level or full 10-day pathway.</w:t>
      </w:r>
    </w:p>
    <w:p>
      <w:pPr>
        <w:pStyle w:val="ListNumber"/>
        <w:spacing w:after="60"/>
      </w:pPr>
      <w:r>
        <w:t>Confirm delivery calendar, venue and module scheduling.</w:t>
      </w:r>
    </w:p>
    <w:p>
      <w:pPr>
        <w:pStyle w:val="ListNumber"/>
        <w:spacing w:after="60"/>
      </w:pPr>
      <w:r>
        <w:t>Approve the commercial structure, infrastructure model and any additional logistics/venue costs.</w:t>
      </w:r>
    </w:p>
    <w:p>
      <w:pPr>
        <w:pStyle w:val="ListNumber"/>
        <w:spacing w:after="60"/>
      </w:pPr>
      <w:r>
        <w:t>Approve the participant readiness process so company data, content and operating requirements are collected before delivery.</w:t>
      </w:r>
    </w:p>
    <w:p>
      <w:pPr>
        <w:pStyle w:val="ListNumber"/>
        <w:spacing w:after="60"/>
      </w:pPr>
      <w:r>
        <w:t>Confirm the final statement of work covering intellectual property, source-code access, hosting ownership, support and out-of-scope change control.</w:t>
      </w:r>
    </w:p>
    <w:p>
      <w:pPr>
        <w:pStyle w:val="Heading2"/>
      </w:pPr>
      <w:r>
        <w:t>Recommended Programme Positioning</w:t>
      </w:r>
    </w:p>
    <w:p>
      <w:pPr>
        <w:pStyle w:val="Callout"/>
        <w:jc w:val="center"/>
      </w:pPr>
      <w:r>
        <w:t>LEARN → BUILD → SECURE → DEPLOY → OPERATE</w:t>
      </w:r>
    </w:p>
    <w:p>
      <w:pPr>
        <w:jc w:val="center"/>
      </w:pPr>
      <w:r>
        <w:rPr>
          <w:b/>
          <w:color w:val="17324D"/>
        </w:rPr>
        <w:t>Each participating company builds, deploys and operates its own working digital business system.</w:t>
      </w:r>
    </w:p>
    <w:p>
      <w:pPr>
        <w:pStyle w:val="Heading2"/>
      </w:pPr>
      <w:r>
        <w:t>Programme Snapshot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tcMar>
              <w:top w:w="120" w:type="dxa"/>
              <w:start w:w="140" w:type="dxa"/>
              <w:bottom w:w="120" w:type="dxa"/>
              <w:end w:w="140" w:type="dxa"/>
            </w:tcMar>
            <w:shd w:fill="EEF4F8"/>
            <w:vAlign w:val="center"/>
          </w:tcPr>
          <w:p>
            <w:pPr>
              <w:keepLines/>
              <w:spacing w:after="40"/>
            </w:pPr>
            <w:r>
              <w:rPr>
                <w:b/>
                <w:color w:val="17324D"/>
                <w:sz w:val="20"/>
              </w:rPr>
              <w:t>Standard full pathway</w:t>
            </w:r>
          </w:p>
          <w:p>
            <w:pPr>
              <w:keepLines/>
              <w:spacing w:after="40"/>
            </w:pPr>
            <w:r>
              <w:rPr>
                <w:color w:val="1B1F23"/>
                <w:sz w:val="18"/>
              </w:rPr>
              <w:t>10 delivery days | RM11,000 programme fee | RM500 Year-1 infrastructure | RM11,500 standard Year-1 total</w:t>
            </w:r>
          </w:p>
        </w:tc>
        <w:tc>
          <w:tcPr>
            <w:tcW w:type="dxa" w:w="5083"/>
            <w:tcMar>
              <w:top w:w="120" w:type="dxa"/>
              <w:start w:w="140" w:type="dxa"/>
              <w:bottom w:w="120" w:type="dxa"/>
              <w:end w:w="140" w:type="dxa"/>
            </w:tcMar>
            <w:shd w:fill="F1F7F4"/>
            <w:vAlign w:val="center"/>
          </w:tcPr>
          <w:p>
            <w:pPr>
              <w:keepLines/>
              <w:spacing w:after="40"/>
            </w:pPr>
            <w:r>
              <w:rPr>
                <w:b/>
                <w:color w:val="17324D"/>
                <w:sz w:val="20"/>
              </w:rPr>
              <w:t>With optional AI deployment</w:t>
            </w:r>
          </w:p>
          <w:p>
            <w:pPr>
              <w:keepLines/>
              <w:spacing w:after="40"/>
            </w:pPr>
            <w:r>
              <w:rPr>
                <w:color w:val="1B1F23"/>
                <w:sz w:val="18"/>
              </w:rPr>
              <w:t>Add RM1,200/company | RM12,700 Year-1 total where selected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t>1</w:t>
      </w:r>
    </w:fldSimple>
    <w:r>
      <w:rPr>
        <w:sz w:val="16"/>
      </w:rPr>
      <w:t xml:space="preserve">   |   Draft for Stakeholder Discussion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9636E"/>
        <w:sz w:val="16"/>
      </w:rPr>
      <w:t>AINNA  |  10-Day SME Digital Transformation Programme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 w:eastAsia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17324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1F5A9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Aptos" w:hAnsi="Aptos" w:eastAsia="Aptos"/>
      <w:b/>
      <w:bCs/>
      <w:color w:val="2E7D7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17324D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Theme="majorHAnsi" w:eastAsiaTheme="majorEastAsia" w:hAnsiTheme="majorHAnsi" w:cstheme="majorBidi" w:ascii="Aptos" w:hAnsi="Aptos" w:eastAsia="Aptos"/>
      <w:b w:val="0"/>
      <w:i w:val="0"/>
      <w:iCs/>
      <w:color w:val="59636E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pPr>
      <w:spacing w:after="80"/>
    </w:pPr>
    <w:rPr>
      <w:rFonts w:ascii="Aptos" w:hAnsi="Aptos" w:eastAsia="Aptos"/>
      <w:b/>
      <w:i w:val="0"/>
      <w:color w:val="2E7D7A"/>
      <w:sz w:val="18"/>
    </w:rPr>
  </w:style>
  <w:style w:type="paragraph" w:customStyle="1" w:styleId="Callout">
    <w:name w:val="Callout"/>
    <w:pPr>
      <w:spacing w:after="80"/>
    </w:pPr>
    <w:rPr>
      <w:rFonts w:ascii="Aptos" w:hAnsi="Aptos" w:eastAsia="Aptos"/>
      <w:b/>
      <w:i w:val="0"/>
      <w:color w:val="17324D"/>
      <w:sz w:val="20"/>
    </w:rPr>
  </w:style>
  <w:style w:type="paragraph" w:customStyle="1" w:styleId="Small">
    <w:name w:val="Small"/>
    <w:pPr>
      <w:spacing w:after="80"/>
    </w:pPr>
    <w:rPr>
      <w:rFonts w:ascii="Aptos" w:hAnsi="Aptos" w:eastAsia="Aptos"/>
      <w:b w:val="0"/>
      <w:i w:val="0"/>
      <w:color w:val="59636E"/>
      <w:sz w:val="16"/>
    </w:rPr>
  </w:style>
  <w:style w:type="paragraph" w:customStyle="1" w:styleId="TableText">
    <w:name w:val="TableText"/>
    <w:pPr>
      <w:spacing w:after="80"/>
    </w:pPr>
    <w:rPr>
      <w:rFonts w:ascii="Aptos" w:hAnsi="Aptos" w:eastAsia="Aptos"/>
      <w:b w:val="0"/>
      <w:i w:val="0"/>
      <w:color w:val="1B1F23"/>
      <w:sz w:val="16"/>
    </w:rPr>
  </w:style>
  <w:style w:type="paragraph" w:customStyle="1" w:styleId="TableHead">
    <w:name w:val="TableHead"/>
    <w:pPr>
      <w:spacing w:after="80"/>
    </w:pPr>
    <w:rPr>
      <w:rFonts w:ascii="Aptos" w:hAnsi="Aptos" w:eastAsia="Aptos"/>
      <w:b/>
      <w:i w:val="0"/>
      <w:color w:val="FFFFFF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